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3270e2f1240b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9208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Ivane Brlić Mažuranić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700.271,61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761.430,32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685.541,49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871.649,70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110.219,38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3.652,67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113.872,05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poslovanja, ukupni, u odnosu na izvještajno razdoblje prošle godine, uvećani su za 8,7 % prema indeksu.
Rashodi poslovanja, ukupni, u odnosu na  izvještajno razdoblje prošle godine, uvećani su za 27,10 % prema indeksu.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je 0,00 Eur-a.
Sve obveze navedene u izvješću su nedospjele.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03b5e1b2d447d8" /></Relationships>
</file>